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92" w:rsidRDefault="00CF7CE5" w:rsidP="00CD3D5D">
      <w:pPr>
        <w:spacing w:after="120" w:line="240" w:lineRule="auto"/>
        <w:ind w:left="-992" w:right="-1038"/>
        <w:jc w:val="both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CF7CE5">
        <w:rPr>
          <w:rFonts w:asciiTheme="majorHAnsi" w:eastAsia="Arial" w:hAnsiTheme="majorHAnsi"/>
          <w:b/>
          <w:noProof/>
          <w:color w:val="000000" w:themeColor="text1"/>
          <w:sz w:val="20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5.75pt;margin-top:-49pt;width:613.5pt;height:6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" fillcolor="#c0504d [3205]" strokecolor="#c0504d [3205]" strokeweight="2pt">
            <v:textbox style="mso-next-textbox:#Text Box 2">
              <w:txbxContent>
                <w:p w:rsidR="00FC5367" w:rsidRDefault="00FC5367" w:rsidP="00415A9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NJOFTIM</w:t>
                  </w:r>
                </w:p>
                <w:p w:rsidR="00415A92" w:rsidRPr="00415A92" w:rsidRDefault="00415A92" w:rsidP="00415A9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Konsultimi publik</w:t>
                  </w:r>
                </w:p>
                <w:p w:rsidR="00FB56BC" w:rsidRPr="00415A92" w:rsidRDefault="00415A92" w:rsidP="00415A92">
                  <w:pPr>
                    <w:spacing w:after="0"/>
                    <w:jc w:val="center"/>
                  </w:pP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Plani i Vepr</w:t>
                  </w:r>
                  <w:r w:rsidR="00430BEC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imit i Partneritetit të Qeverisjes</w:t>
                  </w: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 xml:space="preserve"> së Hapur për Shqipërinë 2020-2022</w:t>
                  </w:r>
                </w:p>
              </w:txbxContent>
            </v:textbox>
          </v:shape>
        </w:pict>
      </w:r>
    </w:p>
    <w:p w:rsidR="00415A92" w:rsidRDefault="00415A92" w:rsidP="00415A92">
      <w:pPr>
        <w:spacing w:after="120" w:line="240" w:lineRule="auto"/>
        <w:ind w:left="-992"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Partneriteti i Qeverisë së Hapur (OGP) synon të përmirësojë qeverisjen përmes bashkëpunimit qeveri-shoqëri civile për të zhvilluar reforma që promovojnë transparencën, llogaridhënien publike dhe pjesëmarrjen qytetare. Nga korriku i vitit 2020 e deri më tani qeveria shqiptare ka punuar me institucionet publike dhe anëtarët e organizatave të shoqërisë civile (OSHC) gjatë 14 konsultimeve me palët e interesit për të hartuar një </w:t>
      </w:r>
      <w:r w:rsidR="00ED5125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kuadër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prej dhjetë angazhimesh 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n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ë 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reforma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për përfshirje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n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në Planin e Veprimit të Shqipërisë OGP 2020-2022.</w:t>
      </w:r>
    </w:p>
    <w:p w:rsidR="00415A92" w:rsidRPr="00561DBB" w:rsidRDefault="00415A92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b/>
          <w:color w:val="000000" w:themeColor="text1"/>
          <w:lang w:eastAsia="es-ES_tradnl"/>
        </w:rPr>
      </w:pPr>
      <w:r w:rsidRPr="00561DBB">
        <w:rPr>
          <w:rFonts w:ascii="Georgia" w:eastAsia="Arial" w:hAnsi="Georgia"/>
          <w:b/>
          <w:color w:val="000000" w:themeColor="text1"/>
          <w:lang w:eastAsia="es-ES_tradnl"/>
        </w:rPr>
        <w:t>Të gjithë qytetarët dhe organizatat e shoqërisë civile janë të ftuar të japin komente mbi draftin</w:t>
      </w:r>
    </w:p>
    <w:p w:rsidR="00561DBB" w:rsidRDefault="00ED5125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color w:val="000000" w:themeColor="text1"/>
          <w:lang w:eastAsia="es-ES_tradnl"/>
        </w:rPr>
      </w:pPr>
      <w:r>
        <w:rPr>
          <w:rFonts w:ascii="Georgia" w:eastAsia="Arial" w:hAnsi="Georgia"/>
          <w:color w:val="000000" w:themeColor="text1"/>
          <w:lang w:eastAsia="es-ES_tradnl"/>
        </w:rPr>
        <w:t>Të gjitha komentet, idetë dhe rekomandimet</w:t>
      </w:r>
      <w:r w:rsidR="00561DBB" w:rsidRPr="00561DBB">
        <w:rPr>
          <w:rFonts w:ascii="Georgia" w:eastAsia="Arial" w:hAnsi="Georgia"/>
          <w:color w:val="000000" w:themeColor="text1"/>
          <w:lang w:eastAsia="es-ES_tradnl"/>
        </w:rPr>
        <w:t xml:space="preserve"> janë të mirëpritura dhe do të publikohen.</w:t>
      </w:r>
    </w:p>
    <w:p w:rsidR="00561DBB" w:rsidRPr="00561DBB" w:rsidRDefault="00561DBB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color w:val="000000" w:themeColor="text1"/>
          <w:lang w:eastAsia="es-ES_tradnl"/>
        </w:rPr>
      </w:pPr>
    </w:p>
    <w:p w:rsidR="00415A92" w:rsidRDefault="00415A92" w:rsidP="00415A92">
      <w:pPr>
        <w:spacing w:after="0" w:line="240" w:lineRule="auto"/>
        <w:ind w:left="-992" w:right="-1038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Cs w:val="20"/>
          <w:u w:val="single"/>
          <w:lang w:eastAsia="es-ES_tradnl"/>
        </w:rPr>
        <w:t xml:space="preserve">Kontributet tuaja janë thelbësore </w:t>
      </w:r>
      <w:r w:rsidRPr="00415A92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për të siguruar që plani përfundimtar i veprimit të pasqyrojë nevojat 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>Planit të Veprimit për Qeverisje të Hapur 2020-2022</w:t>
      </w:r>
      <w:r w:rsidRPr="00415A92">
        <w:rPr>
          <w:rFonts w:ascii="Georgia" w:eastAsia="Arial" w:hAnsi="Georgia"/>
          <w:color w:val="000000" w:themeColor="text1"/>
          <w:szCs w:val="20"/>
          <w:lang w:eastAsia="es-ES_tradnl"/>
        </w:rPr>
        <w:t>.</w:t>
      </w:r>
      <w:r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</w:p>
    <w:p w:rsidR="00ED5125" w:rsidRPr="00415A92" w:rsidRDefault="00ED5125" w:rsidP="00415A92">
      <w:pPr>
        <w:spacing w:after="0" w:line="240" w:lineRule="auto"/>
        <w:ind w:left="-992" w:right="-1038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584D99" w:rsidRDefault="00584D99" w:rsidP="00415A92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hAnsi="Georgia"/>
          <w:b/>
          <w:color w:val="000000" w:themeColor="text1"/>
        </w:rPr>
      </w:pPr>
    </w:p>
    <w:p w:rsidR="007C500F" w:rsidRPr="007C500F" w:rsidRDefault="00415A92" w:rsidP="00415A92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eastAsia="Arial" w:hAnsi="Georgia"/>
          <w:b/>
          <w:i/>
          <w:color w:val="000000" w:themeColor="text1"/>
          <w:sz w:val="12"/>
          <w:szCs w:val="20"/>
          <w:shd w:val="clear" w:color="auto" w:fill="F2DBDB" w:themeFill="accent2" w:themeFillTint="33"/>
          <w:lang w:eastAsia="es-ES_tradnl"/>
        </w:rPr>
      </w:pPr>
      <w:r w:rsidRPr="00415A92">
        <w:rPr>
          <w:rFonts w:ascii="Georgia" w:hAnsi="Georgia"/>
          <w:b/>
          <w:color w:val="000000" w:themeColor="text1"/>
        </w:rPr>
        <w:t xml:space="preserve">STRUKTURA E PLANIT - </w:t>
      </w:r>
      <w:r w:rsidRPr="00415A92">
        <w:rPr>
          <w:rFonts w:ascii="Georgia" w:hAnsi="Georgia"/>
          <w:color w:val="000000" w:themeColor="text1"/>
        </w:rPr>
        <w:t>Plani i veprimit është i ndarë në 4 komponentë tematikë që secila përfshin si më poshtë vijon:</w:t>
      </w:r>
    </w:p>
    <w:p w:rsidR="00734803" w:rsidRPr="007C500F" w:rsidRDefault="00415A92" w:rsidP="007C500F">
      <w:pPr>
        <w:shd w:val="clear" w:color="auto" w:fill="F2DBDB" w:themeFill="accent2" w:themeFillTint="33"/>
        <w:spacing w:after="0" w:line="240" w:lineRule="auto"/>
        <w:ind w:left="-992" w:right="-1038"/>
        <w:contextualSpacing/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</w:pP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P</w:t>
      </w:r>
      <w:r w:rsidRPr="00415A92"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ë</w:t>
      </w: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rmbledhje e komponent</w:t>
      </w:r>
      <w:r w:rsidRPr="00415A92"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ë</w:t>
      </w: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ve:</w:t>
      </w:r>
    </w:p>
    <w:p w:rsidR="00734803" w:rsidRPr="00CD3D5D" w:rsidRDefault="00415A92" w:rsidP="00734803">
      <w:pPr>
        <w:spacing w:before="120" w:after="0" w:line="240" w:lineRule="auto"/>
        <w:ind w:left="-993" w:right="-1039"/>
        <w:rPr>
          <w:rFonts w:ascii="Georgia" w:eastAsia="Arial" w:hAnsi="Georgia"/>
          <w:color w:val="000000" w:themeColor="text1"/>
          <w:sz w:val="10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Pse është tema e rëndësishme për reformën qeveritare, cilat përpjekje janë bërë deri më tani, si qeveria ka bashkëpunuar me shoqërinë civile dhe cilat sfida mbeten për adresimin e këtij problemi?</w:t>
      </w:r>
      <w:r w:rsidR="00905A61">
        <w:rPr>
          <w:rFonts w:ascii="Georgia" w:eastAsia="Arial" w:hAnsi="Georgia"/>
          <w:color w:val="000000" w:themeColor="text1"/>
          <w:szCs w:val="20"/>
          <w:lang w:eastAsia="es-ES_tradnl"/>
        </w:rPr>
        <w:br/>
      </w:r>
    </w:p>
    <w:tbl>
      <w:tblPr>
        <w:tblStyle w:val="TableGrid"/>
        <w:tblW w:w="11058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5529"/>
        <w:gridCol w:w="5529"/>
      </w:tblGrid>
      <w:tr w:rsidR="00CF74FF" w:rsidTr="00967F4A">
        <w:tc>
          <w:tcPr>
            <w:tcW w:w="5529" w:type="dxa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A</w:t>
            </w:r>
            <w:r w:rsidR="00415A92" w:rsidRPr="00415A92">
              <w:rPr>
                <w:rFonts w:ascii="Georgia" w:hAnsi="Georgia"/>
                <w:b/>
                <w:i/>
                <w:sz w:val="20"/>
                <w:szCs w:val="20"/>
              </w:rPr>
              <w:t>ngazhimet / Objektivat Specifikë: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 xml:space="preserve">Vlerat e OGP - </w:t>
            </w:r>
            <w:r w:rsidRPr="00584D99">
              <w:rPr>
                <w:rFonts w:ascii="Georgia" w:hAnsi="Georgia"/>
                <w:i/>
                <w:sz w:val="20"/>
                <w:szCs w:val="20"/>
              </w:rPr>
              <w:t>si përmirësohet angazhimi:</w:t>
            </w:r>
          </w:p>
        </w:tc>
      </w:tr>
      <w:tr w:rsidR="00CF74FF" w:rsidTr="00967F4A">
        <w:tc>
          <w:tcPr>
            <w:tcW w:w="5529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contextualSpacing w:val="0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Cili është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 xml:space="preserve">problemi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që do të adresojë angazhimi?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Cili është angazhimi?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Cili është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objektivi i përgjithshëm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dhe rezultatet e pritura?</w:t>
            </w:r>
          </w:p>
          <w:p w:rsidR="00CF74FF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Si do të ndihmojë angazhimi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në zgjidhjen e problemit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?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Transparenca;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Përgjegjësia publike;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Pjesëmarrja Publike &amp; Qytetare;</w:t>
            </w:r>
          </w:p>
          <w:p w:rsidR="00CF74FF" w:rsidRPr="00366463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contextualSpacing w:val="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Teknologji &amp; Inovacion.</w:t>
            </w:r>
          </w:p>
        </w:tc>
      </w:tr>
      <w:tr w:rsidR="00CF74FF" w:rsidTr="00967F4A">
        <w:tc>
          <w:tcPr>
            <w:tcW w:w="5529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0F3D89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>Institucionet përgjegjëse:</w:t>
            </w:r>
          </w:p>
        </w:tc>
        <w:tc>
          <w:tcPr>
            <w:tcW w:w="5529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7C500F" w:rsidRDefault="00584D99" w:rsidP="000F3D89">
            <w:pPr>
              <w:rPr>
                <w:rFonts w:ascii="Georgia" w:hAnsi="Georgia"/>
                <w:b/>
                <w:i/>
                <w:sz w:val="20"/>
                <w:szCs w:val="20"/>
                <w:highlight w:val="yellow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>Pikat kryesore:</w:t>
            </w:r>
          </w:p>
        </w:tc>
      </w:tr>
      <w:tr w:rsidR="00CF74FF" w:rsidTr="00967F4A">
        <w:tc>
          <w:tcPr>
            <w:tcW w:w="5529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CF74FF" w:rsidRPr="000F3D89" w:rsidRDefault="00584D99" w:rsidP="00CD3D5D">
            <w:pPr>
              <w:spacing w:before="60" w:after="60"/>
              <w:ind w:right="-131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Institucionet qeveritare dhe OSHC-të që do të </w:t>
            </w:r>
            <w:r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zbatojnë angazhimin dhe pikat kryesore.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CF74FF" w:rsidRPr="000F3D89" w:rsidRDefault="00584D99" w:rsidP="000F3D89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Aktivitete specifike që do të ndihmojnë në arritjen e angazhimit</w:t>
            </w:r>
          </w:p>
        </w:tc>
      </w:tr>
    </w:tbl>
    <w:p w:rsidR="00584D99" w:rsidRDefault="00F767B5" w:rsidP="00584D99">
      <w:pPr>
        <w:shd w:val="clear" w:color="auto" w:fill="D99594" w:themeFill="accent2" w:themeFillTint="99"/>
        <w:spacing w:before="120" w:after="120" w:line="240" w:lineRule="auto"/>
        <w:ind w:left="-992"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>
        <w:rPr>
          <w:rFonts w:ascii="Georgia" w:hAnsi="Georgia"/>
          <w:b/>
          <w:color w:val="000000" w:themeColor="text1"/>
        </w:rPr>
        <w:br/>
      </w:r>
      <w:r w:rsidR="00584D99">
        <w:rPr>
          <w:rFonts w:ascii="Georgia" w:hAnsi="Georgia"/>
          <w:b/>
          <w:color w:val="000000" w:themeColor="text1"/>
        </w:rPr>
        <w:t>REAGIM</w:t>
      </w:r>
      <w:r w:rsidR="00584D99" w:rsidRPr="00584D99">
        <w:rPr>
          <w:rFonts w:ascii="Georgia" w:hAnsi="Georgia"/>
          <w:b/>
          <w:color w:val="000000" w:themeColor="text1"/>
        </w:rPr>
        <w:t xml:space="preserve"> -</w:t>
      </w:r>
      <w:r w:rsidR="00280B06">
        <w:rPr>
          <w:rFonts w:ascii="Georgia" w:hAnsi="Georgia"/>
          <w:b/>
          <w:color w:val="000000" w:themeColor="text1"/>
        </w:rPr>
        <w:t xml:space="preserve"> Kur jepni komente për një angazhim, merrni parasysh si m</w:t>
      </w:r>
      <w:r w:rsidR="00280B06" w:rsidRPr="00280B06">
        <w:rPr>
          <w:rFonts w:ascii="Georgia" w:hAnsi="Georgia"/>
          <w:b/>
          <w:color w:val="000000" w:themeColor="text1"/>
        </w:rPr>
        <w:t>ë</w:t>
      </w:r>
      <w:r w:rsidR="00280B06">
        <w:rPr>
          <w:rFonts w:ascii="Georgia" w:hAnsi="Georgia"/>
          <w:b/>
          <w:color w:val="000000" w:themeColor="text1"/>
        </w:rPr>
        <w:t xml:space="preserve"> posht</w:t>
      </w:r>
      <w:r w:rsidR="00280B06" w:rsidRPr="00280B06">
        <w:rPr>
          <w:rFonts w:ascii="Georgia" w:hAnsi="Georgia"/>
          <w:b/>
          <w:color w:val="000000" w:themeColor="text1"/>
        </w:rPr>
        <w:t>ë</w:t>
      </w:r>
      <w:r w:rsidR="00280B06">
        <w:rPr>
          <w:rFonts w:ascii="Georgia" w:hAnsi="Georgia"/>
          <w:b/>
          <w:color w:val="000000" w:themeColor="text1"/>
        </w:rPr>
        <w:t xml:space="preserve"> </w:t>
      </w:r>
      <w:r w:rsidR="00584D99" w:rsidRPr="00584D99">
        <w:rPr>
          <w:rFonts w:ascii="Georgia" w:hAnsi="Georgia"/>
          <w:b/>
          <w:color w:val="000000" w:themeColor="text1"/>
        </w:rPr>
        <w:t>vijon:</w:t>
      </w:r>
    </w:p>
    <w:p w:rsidR="00584D99" w:rsidRPr="00584D99" w:rsidRDefault="00584D99" w:rsidP="00584D99">
      <w:pPr>
        <w:spacing w:before="120" w:after="120" w:line="240" w:lineRule="auto"/>
        <w:ind w:left="-992" w:right="-1038"/>
        <w:rPr>
          <w:rFonts w:ascii="Georgia" w:eastAsia="Arial" w:hAnsi="Georgia"/>
          <w:i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  <w:t>Angazhim</w:t>
      </w:r>
      <w:r w:rsidR="00280B06"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  <w:t>i</w:t>
      </w:r>
      <w:r w:rsidRPr="00584D99">
        <w:rPr>
          <w:rFonts w:ascii="Georgia" w:eastAsia="Arial" w:hAnsi="Georgia"/>
          <w:i/>
          <w:color w:val="000000" w:themeColor="text1"/>
          <w:sz w:val="20"/>
          <w:szCs w:val="20"/>
          <w:lang w:eastAsia="es-ES_tradnl"/>
        </w:rPr>
        <w:t>: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A shpjegon angazhimi se si do ta arrijë qëllimin e tij?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Cilat detaje mund të përfshihen për ta bërë angazhimin më efektiv?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A ka çështje të tjera që duhet të merren parasysh?</w:t>
      </w:r>
    </w:p>
    <w:p w:rsidR="00584D99" w:rsidRPr="00584D99" w:rsidRDefault="00584D99" w:rsidP="00584D99">
      <w:pPr>
        <w:spacing w:after="60" w:line="240" w:lineRule="auto"/>
        <w:ind w:left="-993" w:right="-1038"/>
        <w:rPr>
          <w:rFonts w:ascii="Georgia" w:hAnsi="Georgia"/>
          <w:b/>
          <w:i/>
          <w:sz w:val="20"/>
          <w:szCs w:val="20"/>
        </w:rPr>
      </w:pPr>
      <w:r w:rsidRPr="00584D99">
        <w:rPr>
          <w:rFonts w:ascii="Georgia" w:hAnsi="Georgia"/>
          <w:b/>
          <w:i/>
          <w:sz w:val="20"/>
          <w:szCs w:val="20"/>
        </w:rPr>
        <w:t>Institucionet përgjegjëse: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OSHC duhet të përfshihen në angazhim?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OSHC do të ishin partnerë të mirë për piketat individuale?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Si mund të përmirësohet angazhimi qytetar mbi angazhimin?</w:t>
      </w:r>
    </w:p>
    <w:p w:rsidR="00584D99" w:rsidRPr="00584D99" w:rsidRDefault="00584D99" w:rsidP="00584D99">
      <w:pPr>
        <w:spacing w:after="60" w:line="240" w:lineRule="auto"/>
        <w:ind w:left="-993" w:right="-1038"/>
        <w:rPr>
          <w:rFonts w:ascii="Georgia" w:hAnsi="Georgia"/>
          <w:b/>
          <w:i/>
          <w:sz w:val="20"/>
          <w:szCs w:val="20"/>
        </w:rPr>
      </w:pPr>
      <w:r w:rsidRPr="00584D99">
        <w:rPr>
          <w:rFonts w:ascii="Georgia" w:hAnsi="Georgia"/>
          <w:b/>
          <w:i/>
          <w:sz w:val="20"/>
          <w:szCs w:val="20"/>
        </w:rPr>
        <w:t>Pikat kryesore:</w:t>
      </w:r>
    </w:p>
    <w:p w:rsidR="00584D99" w:rsidRPr="00584D99" w:rsidRDefault="00584D99" w:rsidP="00584D99">
      <w:pPr>
        <w:pStyle w:val="ListParagraph"/>
        <w:numPr>
          <w:ilvl w:val="0"/>
          <w:numId w:val="20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aktivitete / piketa mund të shtohen për të ndihmuar në arritjen e objektivit?</w:t>
      </w:r>
    </w:p>
    <w:p w:rsidR="00584D99" w:rsidRPr="00584D99" w:rsidRDefault="00584D99" w:rsidP="00584D99">
      <w:pPr>
        <w:pStyle w:val="ListParagraph"/>
        <w:numPr>
          <w:ilvl w:val="0"/>
          <w:numId w:val="19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aktivitete mund të shtohen për të mbështetur transparencën, llogaridhënien publike, pjesëmarrjen qytetare dhe / ose teknologjinë dhe inovacionin?</w:t>
      </w:r>
    </w:p>
    <w:p w:rsidR="00584D99" w:rsidRPr="00584D99" w:rsidRDefault="00584D99" w:rsidP="00584D99">
      <w:pPr>
        <w:pStyle w:val="ListParagraph"/>
        <w:numPr>
          <w:ilvl w:val="0"/>
          <w:numId w:val="19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Si mund të marrin pjesë OShC-të në zbatimin e pikave të arritura? Cilat OSHC duhet të jenë partnere?</w:t>
      </w:r>
    </w:p>
    <w:p w:rsidR="00584D99" w:rsidRPr="00967F4A" w:rsidRDefault="00584D99" w:rsidP="00584D99">
      <w:pPr>
        <w:spacing w:after="60" w:line="240" w:lineRule="auto"/>
        <w:ind w:left="-993" w:right="-1038"/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  <w:t>* Ju gjithashtu mund të ofroni reagime dhe sugjerime të përgjithshme - të tilla si përbërës tematikë - që me</w:t>
      </w:r>
      <w:r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  <w:t>ndoni se duhet të përfshihen *</w:t>
      </w:r>
    </w:p>
    <w:p w:rsidR="00E3153D" w:rsidRPr="00F767B5" w:rsidRDefault="00F767B5" w:rsidP="00F767B5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br/>
      </w:r>
      <w:r w:rsidR="001266FB" w:rsidRPr="001266FB">
        <w:rPr>
          <w:rFonts w:ascii="Georgia" w:hAnsi="Georgia"/>
          <w:b/>
          <w:color w:val="000000" w:themeColor="text1"/>
        </w:rPr>
        <w:t>Draft angazhimet për secilën nga katër përbërësit</w:t>
      </w:r>
    </w:p>
    <w:tbl>
      <w:tblPr>
        <w:tblStyle w:val="TableGrid"/>
        <w:tblW w:w="1026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095"/>
        <w:gridCol w:w="5172"/>
      </w:tblGrid>
      <w:tr w:rsidR="000E060C" w:rsidTr="006950B1">
        <w:trPr>
          <w:trHeight w:val="169"/>
        </w:trPr>
        <w:tc>
          <w:tcPr>
            <w:tcW w:w="5095" w:type="dxa"/>
            <w:tcBorders>
              <w:top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0E060C" w:rsidRPr="00905A61" w:rsidRDefault="001266FB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Antikorrupsion</w:t>
            </w:r>
          </w:p>
        </w:tc>
        <w:tc>
          <w:tcPr>
            <w:tcW w:w="5172" w:type="dxa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0E060C" w:rsidRPr="00905A61" w:rsidRDefault="001266FB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Aksesi në Drejtësi</w:t>
            </w:r>
          </w:p>
        </w:tc>
      </w:tr>
      <w:tr w:rsidR="000E060C" w:rsidTr="006950B1">
        <w:trPr>
          <w:trHeight w:val="329"/>
        </w:trPr>
        <w:tc>
          <w:tcPr>
            <w:tcW w:w="5095" w:type="dxa"/>
            <w:tcBorders>
              <w:top w:val="single" w:sz="1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2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Planet e Integritetit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2"/>
              </w:numPr>
              <w:spacing w:before="60"/>
              <w:ind w:right="-130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Regjistri i Pronësisë së Përfitueshme</w:t>
            </w:r>
          </w:p>
        </w:tc>
        <w:tc>
          <w:tcPr>
            <w:tcW w:w="5172" w:type="dxa"/>
            <w:tcBorders>
              <w:top w:val="single" w:sz="1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Përafrimi me ligjet dhe praktikat më të mira ndërkombëtare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Përgjegjësia dhe transparenca e përmirësuar</w:t>
            </w:r>
          </w:p>
        </w:tc>
      </w:tr>
      <w:tr w:rsidR="000E060C" w:rsidTr="006950B1">
        <w:trPr>
          <w:trHeight w:val="160"/>
        </w:trPr>
        <w:tc>
          <w:tcPr>
            <w:tcW w:w="5095" w:type="dxa"/>
            <w:tcBorders>
              <w:top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0E060C" w:rsidRPr="00A108BF" w:rsidRDefault="001266FB" w:rsidP="00F019DD">
            <w:pPr>
              <w:ind w:right="-131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Qeverisja Dixhitale</w:t>
            </w:r>
          </w:p>
        </w:tc>
        <w:tc>
          <w:tcPr>
            <w:tcW w:w="5172" w:type="dxa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0E060C" w:rsidRPr="00A108BF" w:rsidRDefault="001266FB" w:rsidP="000E060C">
            <w:pPr>
              <w:tabs>
                <w:tab w:val="left" w:pos="2630"/>
              </w:tabs>
              <w:ind w:right="-131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Transparenca Fiskale</w:t>
            </w:r>
          </w:p>
        </w:tc>
      </w:tr>
      <w:tr w:rsidR="000E060C" w:rsidTr="006950B1">
        <w:trPr>
          <w:trHeight w:val="227"/>
        </w:trPr>
        <w:tc>
          <w:tcPr>
            <w:tcW w:w="5095" w:type="dxa"/>
            <w:vMerge w:val="restar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Zgjerimi i shërbimeve të qeverisjes elektronike</w:t>
            </w:r>
          </w:p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Zgjerimi i Portalit të Hapur të të Dhënave</w:t>
            </w:r>
          </w:p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Themelimi i  Qëndr ave të  Integruara të Shërbimit(ISC)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Monitorimi i Ofrimit të Shërbimit Publik në ISC</w:t>
            </w:r>
          </w:p>
        </w:tc>
        <w:tc>
          <w:tcPr>
            <w:tcW w:w="5172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Rritja e transparencës së buxhetit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hAnsi="Georgia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Transparenca e rritur e të ardhurave publike</w:t>
            </w:r>
          </w:p>
        </w:tc>
      </w:tr>
      <w:tr w:rsidR="000E060C" w:rsidTr="000E060C">
        <w:trPr>
          <w:trHeight w:val="246"/>
        </w:trPr>
        <w:tc>
          <w:tcPr>
            <w:tcW w:w="5095" w:type="dxa"/>
            <w:vMerge/>
            <w:tcBorders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0E060C" w:rsidRDefault="000E060C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5172" w:type="dxa"/>
          </w:tcPr>
          <w:p w:rsidR="006F1B77" w:rsidRDefault="006F1B77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  <w:p w:rsidR="006F1B77" w:rsidRDefault="006F1B77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0E060C" w:rsidTr="000E060C">
        <w:trPr>
          <w:gridAfter w:val="1"/>
          <w:wAfter w:w="5172" w:type="dxa"/>
          <w:trHeight w:val="227"/>
        </w:trPr>
        <w:tc>
          <w:tcPr>
            <w:tcW w:w="5095" w:type="dxa"/>
            <w:vMerge/>
            <w:tcBorders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0E060C" w:rsidRPr="000F3D89" w:rsidRDefault="000E060C" w:rsidP="00F019DD">
            <w:pPr>
              <w:ind w:right="-131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ED5125" w:rsidRDefault="00ED5125" w:rsidP="00561DBB">
      <w:pPr>
        <w:spacing w:after="0" w:line="240" w:lineRule="auto"/>
        <w:ind w:left="-993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561DBB" w:rsidRDefault="006F1B77" w:rsidP="00561DBB">
      <w:pPr>
        <w:spacing w:after="0" w:line="240" w:lineRule="auto"/>
        <w:ind w:left="-993"/>
        <w:rPr>
          <w:rFonts w:ascii="Georgia" w:eastAsia="Arial" w:hAnsi="Georgia"/>
          <w:color w:val="000000" w:themeColor="text1"/>
          <w:szCs w:val="20"/>
          <w:lang w:eastAsia="es-ES_tradnl"/>
        </w:rPr>
      </w:pPr>
      <w:r>
        <w:rPr>
          <w:rFonts w:ascii="Georgia" w:eastAsia="Arial" w:hAnsi="Georgia"/>
          <w:color w:val="000000" w:themeColor="text1"/>
          <w:szCs w:val="20"/>
          <w:lang w:eastAsia="es-ES_tradnl"/>
        </w:rPr>
        <w:lastRenderedPageBreak/>
        <w:br/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Ju lutemi klikoni për më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shumë informacion përmes faqes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të internetit të OPG</w:t>
      </w:r>
      <w:r w:rsidR="00561DBB">
        <w:rPr>
          <w:rFonts w:ascii="Georgia" w:eastAsia="Arial" w:hAnsi="Georgia"/>
          <w:color w:val="000000" w:themeColor="text1"/>
          <w:szCs w:val="20"/>
          <w:lang w:eastAsia="es-ES_tradnl"/>
        </w:rPr>
        <w:t>-s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ë</w:t>
      </w:r>
      <w:r w:rsid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në Shqipëri 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>më specifikisht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: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ab/>
      </w:r>
    </w:p>
    <w:p w:rsidR="00ED5125" w:rsidRPr="00ED5125" w:rsidRDefault="00ED5125" w:rsidP="00ED5125">
      <w:pPr>
        <w:spacing w:after="0" w:line="240" w:lineRule="auto"/>
        <w:rPr>
          <w:rFonts w:ascii="Georgia" w:eastAsia="Arial" w:hAnsi="Georgia"/>
          <w:color w:val="0000FF"/>
          <w:szCs w:val="20"/>
          <w:u w:val="single"/>
          <w:lang w:eastAsia="es-ES_tradnl"/>
        </w:rPr>
      </w:pP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Anti-Corruption</w:t>
      </w:r>
      <w:r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Digital Governance</w:t>
      </w: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Access to Justice</w:t>
      </w:r>
    </w:p>
    <w:p w:rsidR="00E35CBB" w:rsidRPr="00E35CBB" w:rsidRDefault="00561DBB" w:rsidP="00E35C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Fiscal Transparency</w:t>
      </w:r>
    </w:p>
    <w:p w:rsid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E35CBB" w:rsidRP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>
        <w:rPr>
          <w:rFonts w:ascii="Georgia" w:eastAsia="Arial" w:hAnsi="Georgia"/>
          <w:color w:val="000000" w:themeColor="text1"/>
          <w:szCs w:val="20"/>
          <w:lang w:eastAsia="es-ES_tradnl"/>
        </w:rPr>
        <w:t>Ju falënderojmë për bashkëpunimin Tuaj!</w:t>
      </w:r>
    </w:p>
    <w:sectPr w:rsidR="00E35CBB" w:rsidRPr="00E35CBB" w:rsidSect="00F767B5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854"/>
    <w:multiLevelType w:val="hybridMultilevel"/>
    <w:tmpl w:val="0A9C7FC6"/>
    <w:lvl w:ilvl="0" w:tplc="7622771A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F7F73"/>
    <w:multiLevelType w:val="hybridMultilevel"/>
    <w:tmpl w:val="79726F3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2296573"/>
    <w:multiLevelType w:val="hybridMultilevel"/>
    <w:tmpl w:val="5986E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2AE375F"/>
    <w:multiLevelType w:val="hybridMultilevel"/>
    <w:tmpl w:val="B0CACFFA"/>
    <w:lvl w:ilvl="0" w:tplc="94E243C2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301F4"/>
    <w:multiLevelType w:val="hybridMultilevel"/>
    <w:tmpl w:val="5E78AA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318C8"/>
    <w:multiLevelType w:val="hybridMultilevel"/>
    <w:tmpl w:val="F65EFC3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9C65898"/>
    <w:multiLevelType w:val="hybridMultilevel"/>
    <w:tmpl w:val="0D1A0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4A06"/>
    <w:multiLevelType w:val="hybridMultilevel"/>
    <w:tmpl w:val="C43E1A18"/>
    <w:lvl w:ilvl="0" w:tplc="AADC53F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24136F"/>
    <w:multiLevelType w:val="hybridMultilevel"/>
    <w:tmpl w:val="93E42610"/>
    <w:lvl w:ilvl="0" w:tplc="C3DAF8E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4F9B"/>
    <w:multiLevelType w:val="hybridMultilevel"/>
    <w:tmpl w:val="50A8D7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77E09C3"/>
    <w:multiLevelType w:val="hybridMultilevel"/>
    <w:tmpl w:val="CA1AE914"/>
    <w:lvl w:ilvl="0" w:tplc="103057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3240EA"/>
    <w:multiLevelType w:val="hybridMultilevel"/>
    <w:tmpl w:val="34BEE7B0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5519C"/>
    <w:multiLevelType w:val="hybridMultilevel"/>
    <w:tmpl w:val="6A92C2F0"/>
    <w:lvl w:ilvl="0" w:tplc="003090D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4AF431D4"/>
    <w:multiLevelType w:val="hybridMultilevel"/>
    <w:tmpl w:val="B8C6310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4AFB513D"/>
    <w:multiLevelType w:val="hybridMultilevel"/>
    <w:tmpl w:val="C402131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BB51CA1"/>
    <w:multiLevelType w:val="hybridMultilevel"/>
    <w:tmpl w:val="D8886232"/>
    <w:lvl w:ilvl="0" w:tplc="94E243C2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17E5F"/>
    <w:multiLevelType w:val="hybridMultilevel"/>
    <w:tmpl w:val="BE60E9C4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1405588"/>
    <w:multiLevelType w:val="hybridMultilevel"/>
    <w:tmpl w:val="883CE7B4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47139"/>
    <w:multiLevelType w:val="hybridMultilevel"/>
    <w:tmpl w:val="C77C5C2A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643930FF"/>
    <w:multiLevelType w:val="hybridMultilevel"/>
    <w:tmpl w:val="ABE85E8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64C51303"/>
    <w:multiLevelType w:val="hybridMultilevel"/>
    <w:tmpl w:val="12C0C7A8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14885"/>
    <w:multiLevelType w:val="hybridMultilevel"/>
    <w:tmpl w:val="8F182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60C2D"/>
    <w:multiLevelType w:val="hybridMultilevel"/>
    <w:tmpl w:val="B316CA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>
    <w:nsid w:val="6A8668C3"/>
    <w:multiLevelType w:val="hybridMultilevel"/>
    <w:tmpl w:val="79703BD0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B1B"/>
    <w:multiLevelType w:val="hybridMultilevel"/>
    <w:tmpl w:val="DC94AF3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70066C85"/>
    <w:multiLevelType w:val="hybridMultilevel"/>
    <w:tmpl w:val="057E1E2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702A4B69"/>
    <w:multiLevelType w:val="hybridMultilevel"/>
    <w:tmpl w:val="75E6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E5055"/>
    <w:multiLevelType w:val="hybridMultilevel"/>
    <w:tmpl w:val="48D81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1773338"/>
    <w:multiLevelType w:val="hybridMultilevel"/>
    <w:tmpl w:val="3E6ADE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F2139"/>
    <w:multiLevelType w:val="hybridMultilevel"/>
    <w:tmpl w:val="3B848EDE"/>
    <w:lvl w:ilvl="0" w:tplc="5A1C7CC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BEE38E8"/>
    <w:multiLevelType w:val="hybridMultilevel"/>
    <w:tmpl w:val="AD84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4148"/>
    <w:multiLevelType w:val="hybridMultilevel"/>
    <w:tmpl w:val="66646932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5"/>
  </w:num>
  <w:num w:numId="5">
    <w:abstractNumId w:val="19"/>
  </w:num>
  <w:num w:numId="6">
    <w:abstractNumId w:val="4"/>
  </w:num>
  <w:num w:numId="7">
    <w:abstractNumId w:val="7"/>
  </w:num>
  <w:num w:numId="8">
    <w:abstractNumId w:val="14"/>
  </w:num>
  <w:num w:numId="9">
    <w:abstractNumId w:val="29"/>
  </w:num>
  <w:num w:numId="10">
    <w:abstractNumId w:val="6"/>
  </w:num>
  <w:num w:numId="11">
    <w:abstractNumId w:val="28"/>
  </w:num>
  <w:num w:numId="12">
    <w:abstractNumId w:val="27"/>
  </w:num>
  <w:num w:numId="13">
    <w:abstractNumId w:val="31"/>
  </w:num>
  <w:num w:numId="14">
    <w:abstractNumId w:val="18"/>
  </w:num>
  <w:num w:numId="15">
    <w:abstractNumId w:val="21"/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22"/>
  </w:num>
  <w:num w:numId="21">
    <w:abstractNumId w:val="13"/>
  </w:num>
  <w:num w:numId="22">
    <w:abstractNumId w:val="0"/>
  </w:num>
  <w:num w:numId="23">
    <w:abstractNumId w:val="23"/>
  </w:num>
  <w:num w:numId="24">
    <w:abstractNumId w:val="20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10"/>
  </w:num>
  <w:num w:numId="30">
    <w:abstractNumId w:val="1"/>
  </w:num>
  <w:num w:numId="31">
    <w:abstractNumId w:val="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32D6D"/>
    <w:rsid w:val="000125EA"/>
    <w:rsid w:val="00057AC1"/>
    <w:rsid w:val="000E060C"/>
    <w:rsid w:val="000E485A"/>
    <w:rsid w:val="000F3D89"/>
    <w:rsid w:val="001266FB"/>
    <w:rsid w:val="00280B06"/>
    <w:rsid w:val="002D6D56"/>
    <w:rsid w:val="00311E38"/>
    <w:rsid w:val="00322FF9"/>
    <w:rsid w:val="00415A92"/>
    <w:rsid w:val="00430BEC"/>
    <w:rsid w:val="00432D6D"/>
    <w:rsid w:val="00561DBB"/>
    <w:rsid w:val="00584D99"/>
    <w:rsid w:val="005B6460"/>
    <w:rsid w:val="0061549B"/>
    <w:rsid w:val="0062101D"/>
    <w:rsid w:val="00656ACD"/>
    <w:rsid w:val="00691FE1"/>
    <w:rsid w:val="006950B1"/>
    <w:rsid w:val="006A230A"/>
    <w:rsid w:val="006B4D21"/>
    <w:rsid w:val="006F1B77"/>
    <w:rsid w:val="006F47DF"/>
    <w:rsid w:val="00734803"/>
    <w:rsid w:val="00765412"/>
    <w:rsid w:val="007A49BF"/>
    <w:rsid w:val="007C500F"/>
    <w:rsid w:val="00882DAC"/>
    <w:rsid w:val="00894BB3"/>
    <w:rsid w:val="00904CC2"/>
    <w:rsid w:val="00905A61"/>
    <w:rsid w:val="00912120"/>
    <w:rsid w:val="00967F4A"/>
    <w:rsid w:val="009B2D2C"/>
    <w:rsid w:val="00A108BF"/>
    <w:rsid w:val="00A87C52"/>
    <w:rsid w:val="00B5325F"/>
    <w:rsid w:val="00BB160E"/>
    <w:rsid w:val="00BF65A3"/>
    <w:rsid w:val="00CD3D5D"/>
    <w:rsid w:val="00CF74FF"/>
    <w:rsid w:val="00CF7CE5"/>
    <w:rsid w:val="00D02AEF"/>
    <w:rsid w:val="00DE1380"/>
    <w:rsid w:val="00DF51CC"/>
    <w:rsid w:val="00E210CF"/>
    <w:rsid w:val="00E25244"/>
    <w:rsid w:val="00E3153D"/>
    <w:rsid w:val="00E35CBB"/>
    <w:rsid w:val="00E4379C"/>
    <w:rsid w:val="00EA49D3"/>
    <w:rsid w:val="00ED5125"/>
    <w:rsid w:val="00EF00AA"/>
    <w:rsid w:val="00F1185D"/>
    <w:rsid w:val="00F34C7B"/>
    <w:rsid w:val="00F37AE1"/>
    <w:rsid w:val="00F564D0"/>
    <w:rsid w:val="00F767B5"/>
    <w:rsid w:val="00F85E2E"/>
    <w:rsid w:val="00FB56BC"/>
    <w:rsid w:val="00FC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Windows User</cp:lastModifiedBy>
  <cp:revision>5</cp:revision>
  <dcterms:created xsi:type="dcterms:W3CDTF">2020-11-18T16:49:00Z</dcterms:created>
  <dcterms:modified xsi:type="dcterms:W3CDTF">2020-12-09T17:01:00Z</dcterms:modified>
</cp:coreProperties>
</file>